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B5" w:rsidRPr="007077B5" w:rsidRDefault="007077B5" w:rsidP="007077B5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муниципальное образование «Липовское»</w:t>
      </w: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 марта 2015 года                                                                                                        № 19/4</w:t>
      </w: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Кизнер</w:t>
      </w: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</w:t>
      </w: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</w:t>
      </w: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«Липовское» за 2014 год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муниципальном образовании «Липовское», утвержденном Решением Совета депутатов от  22 апреля 2011 года № 21/2, 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Совет депутатов решает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77B5" w:rsidRPr="007077B5" w:rsidRDefault="007077B5" w:rsidP="0070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отчет об исполнении бюджета муниципального образования «Липовское» за 2014 год по доходам в сумме 5317,0 тыс. рублей, по расходам в сумме 5331,5 тыс. рублей с превышением расходов над доходами (дефицит бюджета) в сумме 14,5 тыс. рублей и со следующими показателями: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доходов бюджета муниципального образования за 2014 год по кодам, согласно приложению 1 к настоящему Решению;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источников финансирования дефицита бюджета муниципального образования за 2014 год, согласно приложению 2 к настоящему Решению;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расходов бюджета муниципального образования за 2014 год по ведомственной структуре расходов бюджета согласно приложению 3 к настоящему Решению;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расходов бюджета муниципального образования за 2014 год по разделам, подразделам классификации расходов бюджета согласно приложению 4 к настоящему Решению;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публично-нормативных обязательств, исполненных за счет средств бюджета муниципального образования «Липовское» согласно приложению 5 к настоящему Решению.</w:t>
      </w: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7077B5" w:rsidRPr="007077B5" w:rsidRDefault="007077B5" w:rsidP="0070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«Липовское»                                                                                                              А.М. Белов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B5" w:rsidRPr="007077B5" w:rsidRDefault="007077B5" w:rsidP="0070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bookmarkStart w:id="0" w:name="_GoBack"/>
      <w:bookmarkEnd w:id="0"/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7077B5" w:rsidRPr="007077B5" w:rsidRDefault="007077B5" w:rsidP="00707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77B5" w:rsidRPr="007077B5" w:rsidRDefault="007077B5" w:rsidP="0070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отчету об исполнении  бюджета муниципального образования                           «Липовское» за 2014 год.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образования « Липовское» на 2014 год утвержден на сессии Совета депутатов  17 декабря 2013 года по доходам и расходам в сумме 4952,6 тыс.  руб.  </w:t>
      </w:r>
    </w:p>
    <w:p w:rsidR="007077B5" w:rsidRPr="007077B5" w:rsidRDefault="007077B5" w:rsidP="00707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деятельность Администрации поселения была направлена на реализацию задач бюджетной политики, ориентированной на рациональное использование имеющихся ресурсов и повышение результативности и эффективности бюджетных расходов.</w:t>
      </w:r>
    </w:p>
    <w:p w:rsidR="007077B5" w:rsidRPr="007077B5" w:rsidRDefault="007077B5" w:rsidP="007077B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Бюджетная и налоговая политика проводилась в соответствии с Указом Президента Удмуртской Республики и была направлена </w:t>
      </w:r>
      <w:proofErr w:type="gramStart"/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77B5" w:rsidRPr="007077B5" w:rsidRDefault="007077B5" w:rsidP="0070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доходного  потенциала;</w:t>
      </w:r>
    </w:p>
    <w:p w:rsidR="007077B5" w:rsidRPr="007077B5" w:rsidRDefault="007077B5" w:rsidP="0070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-повышение эффективности бюджетных расходов и предоставления государственных и муниципальных услуг, </w:t>
      </w:r>
    </w:p>
    <w:p w:rsidR="007077B5" w:rsidRPr="007077B5" w:rsidRDefault="007077B5" w:rsidP="0070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 сбалансированности и устойчивости бюджета поселения; </w:t>
      </w:r>
    </w:p>
    <w:p w:rsidR="007077B5" w:rsidRPr="007077B5" w:rsidRDefault="007077B5" w:rsidP="007077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ассигнования, предусмотренные на 2014 год, были </w:t>
      </w:r>
      <w:r w:rsidRPr="007077B5">
        <w:rPr>
          <w:rFonts w:ascii="Times New Roman" w:eastAsia="Times New Roman" w:hAnsi="Times New Roman" w:cs="Times New Roman"/>
          <w:sz w:val="24"/>
          <w:szCs w:val="24"/>
        </w:rPr>
        <w:t xml:space="preserve">сформированы исходя из реализации первоочередных задач, необходимых для обеспечения социальной и экономической стабильности в поселении. </w:t>
      </w:r>
    </w:p>
    <w:p w:rsidR="007077B5" w:rsidRPr="007077B5" w:rsidRDefault="007077B5" w:rsidP="007077B5">
      <w:pPr>
        <w:spacing w:before="120" w:after="0" w:line="240" w:lineRule="auto"/>
        <w:ind w:firstLine="709"/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7077B5">
        <w:rPr>
          <w:rFonts w:ascii="Verdana" w:eastAsia="Times New Roman" w:hAnsi="Verdana" w:cs="Times New Roman"/>
          <w:b/>
          <w:i/>
          <w:sz w:val="24"/>
          <w:szCs w:val="24"/>
        </w:rPr>
        <w:t>ДОХОДЫ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образования «Липовское»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налоговым и неналоговым  доходам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уточненном плане 1473,0 тыс. руб., исполнен в сумме 1489,7 тыс. руб. или на 101 %. Темп роста к соответствующему периоду прошлого года составил  60 %.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уплаты акцизов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сумме 624,7 тыс. руб. или 83,3 % от уточненного плана.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сельскохозяйственный налог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в сумме 0,1 тыс. руб. 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Налога на доходы физических лиц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утвержденном плане 255,0 тыс. руб., поступило 330,4 тыс. руб. Процент исполнения  к уточненному плану составил 129,6.  Темп роста к соответствующему периоду прошлого года  составил 28,3 %.  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имущество физических лиц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поступило на 305,6 тыс. руб. больше  отчетного периода 2013 года или  20 тыс. руб., что на 37,6 тыс. руб. больше планового показателя.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налога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в бюджет поселения поступило 110,9 процента от планируемой суммы или 160,8 тыс. руб.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государственной и муниципальной собственности, поступили в сумме 68,1 тыс. руб. (120,5 % планового показателя). Поступили доходы, получаемые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арендной платы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земельные участки, государственная собственность на которые не разграничена и которые расположены в границах поселений, а также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от продажи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заключение договоров аренды указанных земельных участков.</w:t>
      </w:r>
    </w:p>
    <w:p w:rsidR="007077B5" w:rsidRPr="007077B5" w:rsidRDefault="007077B5" w:rsidP="007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прежде основную долю в доходах  бюджета поселения составляют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района, Удмуртской Республики и РФ. Удельный вес их в общем объеме доходов составляет 70,2 %  в суммовом выражении это – 3479,6 тыс. рублей.  </w:t>
      </w:r>
      <w:proofErr w:type="gramStart"/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из вышестоящего бюджета поступило дотаций – 3540,3 тыс. рублей, субвенций – 127,6 тыс. рублей, субсидий – 159,4 тыс. рублей. </w:t>
      </w:r>
      <w:proofErr w:type="gramEnd"/>
    </w:p>
    <w:p w:rsidR="007077B5" w:rsidRPr="007077B5" w:rsidRDefault="007077B5" w:rsidP="00707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</w:t>
      </w:r>
    </w:p>
    <w:p w:rsidR="007077B5" w:rsidRPr="007077B5" w:rsidRDefault="007077B5" w:rsidP="00707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поселения по сравнению с 2013 годом увеличился на 54,4 % и составил 4952,6 тыс. руб. В целом бюджет по расходам исполнен на 99,3 %.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течение года были сохранены те меры, которые обеспечивают проведение сдержанной политики расходов и помогают не допускать образования просроченной кредиторской задолженности. В частности:</w:t>
      </w:r>
    </w:p>
    <w:p w:rsidR="007077B5" w:rsidRPr="007077B5" w:rsidRDefault="007077B5" w:rsidP="007077B5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 принцип приоритетности расходов, направления которых определены решением о бюджете; </w:t>
      </w:r>
    </w:p>
    <w:p w:rsidR="007077B5" w:rsidRPr="007077B5" w:rsidRDefault="007077B5" w:rsidP="007077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порядок доведения лимитов бюджетных обязательств; </w:t>
      </w:r>
    </w:p>
    <w:p w:rsidR="007077B5" w:rsidRPr="007077B5" w:rsidRDefault="007077B5" w:rsidP="007077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механизм использования предельных объемов финансирования денежных обязательств; </w:t>
      </w:r>
    </w:p>
    <w:p w:rsidR="007077B5" w:rsidRPr="007077B5" w:rsidRDefault="007077B5" w:rsidP="007077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условия оплаты муниципальных контрактов.</w:t>
      </w:r>
    </w:p>
    <w:p w:rsidR="007077B5" w:rsidRPr="007077B5" w:rsidRDefault="007077B5" w:rsidP="007077B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средствами обеспечивалась выплата заработной платы работникам бюджетной сферы, оплата коммунальных услуг. В течение года эти расходы осуществлялись, своевременно и в полном объёме.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общегосударственным вопросам расходы составили  1 414,6 тыс. руб. 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0113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«Другие общегосударственные вопросы»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составили 8,4 тыс. руб.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0203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осуществление полномочий по первичному воинскому учету составили в сумме 127,6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98,4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уточненному плану. 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по разделу 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0310 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13,7 тыс.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Из всех расходов на обеспечение первичных мер пожарной безопасности  за счет средств бюджета Удмуртской Республики было направлено 9,4 тыс. руб. и за счет средств местного бюджета 4,3 тыс. руб.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0409 «Дорожное хозяйство»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исполнены на 96,3 % к уточненному плану и составили 806,0 тыс. руб., из них 624,7 тыс. руб. – сумма поступивших доходов от уплаты акцизов и 181,3 тыс. руб. – средства местного бюджета.  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0503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благоустройство территории поселения расходы  за отчетный период составили 226,2 тыс. руб. при первоначальном плане 18,0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0" w:type="auto"/>
        <w:tblLook w:val="01E0"/>
      </w:tblPr>
      <w:tblGrid>
        <w:gridCol w:w="6408"/>
        <w:gridCol w:w="1620"/>
        <w:gridCol w:w="1543"/>
      </w:tblGrid>
      <w:tr w:rsidR="007077B5" w:rsidRPr="007077B5" w:rsidTr="007077B5">
        <w:trPr>
          <w:trHeight w:val="912"/>
        </w:trPr>
        <w:tc>
          <w:tcPr>
            <w:tcW w:w="6408" w:type="dxa"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7077B5" w:rsidRPr="007077B5" w:rsidRDefault="007077B5" w:rsidP="00707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2013 год, тыс. руб.</w:t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2014 год</w:t>
            </w:r>
            <w:proofErr w:type="gramStart"/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077B5" w:rsidRPr="007077B5" w:rsidTr="007077B5">
        <w:tc>
          <w:tcPr>
            <w:tcW w:w="6408" w:type="dxa"/>
            <w:hideMark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7077B5" w:rsidRPr="007077B5" w:rsidTr="007077B5">
        <w:tc>
          <w:tcPr>
            <w:tcW w:w="6408" w:type="dxa"/>
            <w:hideMark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уличное освещение </w:t>
            </w: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77B5" w:rsidRPr="007077B5" w:rsidTr="007077B5">
        <w:tc>
          <w:tcPr>
            <w:tcW w:w="6408" w:type="dxa"/>
            <w:hideMark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за счет республиканского бюджета</w:t>
            </w: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77B5" w:rsidRPr="007077B5" w:rsidTr="007077B5">
        <w:tc>
          <w:tcPr>
            <w:tcW w:w="6408" w:type="dxa"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B5" w:rsidRPr="007077B5" w:rsidTr="007077B5">
        <w:tc>
          <w:tcPr>
            <w:tcW w:w="6408" w:type="dxa"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B5" w:rsidRPr="007077B5" w:rsidTr="007077B5">
        <w:tc>
          <w:tcPr>
            <w:tcW w:w="6408" w:type="dxa"/>
            <w:hideMark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077B5" w:rsidRPr="007077B5" w:rsidTr="007077B5">
        <w:tc>
          <w:tcPr>
            <w:tcW w:w="6408" w:type="dxa"/>
          </w:tcPr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за счет республиканского бюджета</w:t>
            </w:r>
          </w:p>
          <w:p w:rsidR="007077B5" w:rsidRPr="007077B5" w:rsidRDefault="007077B5" w:rsidP="00707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77B5" w:rsidRPr="007077B5" w:rsidRDefault="007077B5" w:rsidP="007077B5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3" w:type="dxa"/>
            <w:hideMark/>
          </w:tcPr>
          <w:p w:rsidR="007077B5" w:rsidRPr="007077B5" w:rsidRDefault="007077B5" w:rsidP="007077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77B5" w:rsidRPr="007077B5" w:rsidRDefault="007077B5" w:rsidP="007077B5">
            <w:pPr>
              <w:tabs>
                <w:tab w:val="left" w:pos="1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0801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 и кинематография» на осуществление полномочий в соответствии с заключенным соглашением на 2014 год в бюджет муниципального района было направлено 2730,0  тыс. руб.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подразделу </w:t>
      </w:r>
      <w:r w:rsidRPr="0070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1001</w:t>
      </w: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«Пенсионное обеспечение» расходы на пенсионное обеспечение муниципальных служащих составили 13,2 тыс. руб.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Экономическое направление средств </w:t>
      </w:r>
      <w:proofErr w:type="gramStart"/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 следующим образом 22,3 % средств обеспечивают</w:t>
      </w:r>
      <w:proofErr w:type="gramEnd"/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заработной платы. Более 22 % расходов – это оплата услуг по договорам. Около 56 % расходов бюджета составили межбюджетные и иные межбюджетные трансферты в бюджет муниципального района в соответствии с заключенными соглашениями.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Капитальные вложения в рамках мероприятий по обеспечению пожарной безопасности за счет средств бюджета Удмуртской Республики  составили 9,4 тыс. руб</w:t>
      </w:r>
      <w:proofErr w:type="gramStart"/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 муниципального образования «Липовское» за 2014 год исполнен по доходам в сумме 5317,0 тыс. руб., по расходам 5331,5 тыс. руб. Результат исполнения бюджета – дефицит в сумме 14,5 тыс. руб. </w:t>
      </w:r>
    </w:p>
    <w:p w:rsidR="007077B5" w:rsidRPr="007077B5" w:rsidRDefault="007077B5" w:rsidP="00707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состоянию на 1 января 2015 года по данным годового отчета составила 7580,07 руб. (коммунальные услуги).</w:t>
      </w:r>
    </w:p>
    <w:p w:rsidR="007077B5" w:rsidRPr="007077B5" w:rsidRDefault="007077B5" w:rsidP="00707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«Кизнерский район»-</w:t>
      </w:r>
    </w:p>
    <w:p w:rsidR="007077B5" w:rsidRPr="007077B5" w:rsidRDefault="007077B5" w:rsidP="0070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                                                                        П.Б.Горбунов</w:t>
      </w:r>
    </w:p>
    <w:p w:rsidR="007077B5" w:rsidRPr="007077B5" w:rsidRDefault="007077B5" w:rsidP="0070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sectPr w:rsidR="007077B5" w:rsidRPr="007077B5" w:rsidSect="00C0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73A1"/>
    <w:multiLevelType w:val="multilevel"/>
    <w:tmpl w:val="EF5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924DD"/>
    <w:multiLevelType w:val="multilevel"/>
    <w:tmpl w:val="C3B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CB"/>
    <w:rsid w:val="003249CB"/>
    <w:rsid w:val="00513025"/>
    <w:rsid w:val="007077B5"/>
    <w:rsid w:val="00922326"/>
    <w:rsid w:val="00C0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77B5"/>
  </w:style>
  <w:style w:type="paragraph" w:styleId="a3">
    <w:name w:val="header"/>
    <w:basedOn w:val="a"/>
    <w:link w:val="a4"/>
    <w:semiHidden/>
    <w:unhideWhenUsed/>
    <w:rsid w:val="00707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0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07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0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077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07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077B5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077B5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7077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077B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077B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077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07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7077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нак"/>
    <w:basedOn w:val="a"/>
    <w:rsid w:val="00707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07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7077B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07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7077B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077B5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77B5"/>
  </w:style>
  <w:style w:type="paragraph" w:styleId="a3">
    <w:name w:val="header"/>
    <w:basedOn w:val="a"/>
    <w:link w:val="a4"/>
    <w:semiHidden/>
    <w:unhideWhenUsed/>
    <w:rsid w:val="00707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0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07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0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077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07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077B5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077B5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7077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077B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077B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077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07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7077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нак"/>
    <w:basedOn w:val="a"/>
    <w:rsid w:val="00707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07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7077B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07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7077B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077B5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6892</Characters>
  <Application>Microsoft Office Word</Application>
  <DocSecurity>0</DocSecurity>
  <Lines>765</Lines>
  <Paragraphs>571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4</cp:revision>
  <dcterms:created xsi:type="dcterms:W3CDTF">2015-09-22T04:36:00Z</dcterms:created>
  <dcterms:modified xsi:type="dcterms:W3CDTF">2015-09-22T07:53:00Z</dcterms:modified>
</cp:coreProperties>
</file>