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b/>
          <w:bCs/>
          <w:color w:val="1C1C1C"/>
          <w:sz w:val="23"/>
          <w:szCs w:val="23"/>
          <w:lang w:eastAsia="ru-RU"/>
        </w:rPr>
        <w:t>Утверждено</w:t>
      </w:r>
      <w:r w:rsidRPr="00230B59">
        <w:rPr>
          <w:rFonts w:ascii="Arial" w:eastAsia="Times New Roman" w:hAnsi="Arial" w:cs="Arial"/>
          <w:color w:val="1C1C1C"/>
          <w:sz w:val="23"/>
          <w:szCs w:val="23"/>
          <w:lang w:eastAsia="ru-RU"/>
        </w:rPr>
        <w:br/>
        <w:t>распоряжением Правительства Удмуртской Республики</w:t>
      </w:r>
      <w:r w:rsidRPr="00230B59">
        <w:rPr>
          <w:rFonts w:ascii="Arial" w:eastAsia="Times New Roman" w:hAnsi="Arial" w:cs="Arial"/>
          <w:color w:val="1C1C1C"/>
          <w:sz w:val="23"/>
          <w:szCs w:val="23"/>
          <w:lang w:eastAsia="ru-RU"/>
        </w:rPr>
        <w:br/>
        <w:t>от 20 июля 2015 г. N 728-р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 </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 </w:t>
      </w:r>
    </w:p>
    <w:p w:rsidR="00230B59" w:rsidRPr="00230B59" w:rsidRDefault="00230B59" w:rsidP="00230B59">
      <w:pPr>
        <w:shd w:val="clear" w:color="auto" w:fill="FFFFFF"/>
        <w:spacing w:after="0" w:line="240" w:lineRule="auto"/>
        <w:jc w:val="center"/>
        <w:outlineLvl w:val="0"/>
        <w:rPr>
          <w:rFonts w:ascii="Arial" w:eastAsia="Times New Roman" w:hAnsi="Arial" w:cs="Arial"/>
          <w:color w:val="1C1C1C"/>
          <w:kern w:val="36"/>
          <w:sz w:val="36"/>
          <w:szCs w:val="36"/>
          <w:lang w:eastAsia="ru-RU"/>
        </w:rPr>
      </w:pPr>
      <w:r w:rsidRPr="00230B59">
        <w:rPr>
          <w:rFonts w:ascii="Arial" w:eastAsia="Times New Roman" w:hAnsi="Arial" w:cs="Arial"/>
          <w:color w:val="1C1C1C"/>
          <w:kern w:val="36"/>
          <w:sz w:val="36"/>
          <w:szCs w:val="36"/>
          <w:lang w:eastAsia="ru-RU"/>
        </w:rPr>
        <w:t>Положение</w:t>
      </w:r>
      <w:r w:rsidRPr="00230B59">
        <w:rPr>
          <w:rFonts w:ascii="Arial" w:eastAsia="Times New Roman" w:hAnsi="Arial" w:cs="Arial"/>
          <w:color w:val="1C1C1C"/>
          <w:kern w:val="36"/>
          <w:sz w:val="36"/>
          <w:szCs w:val="36"/>
          <w:lang w:eastAsia="ru-RU"/>
        </w:rPr>
        <w:br/>
        <w:t>о проведении ежегодного республиканского конкурса</w:t>
      </w:r>
      <w:r w:rsidRPr="00230B59">
        <w:rPr>
          <w:rFonts w:ascii="Arial" w:eastAsia="Times New Roman" w:hAnsi="Arial" w:cs="Arial"/>
          <w:color w:val="1C1C1C"/>
          <w:kern w:val="36"/>
          <w:sz w:val="36"/>
          <w:szCs w:val="36"/>
          <w:lang w:eastAsia="ru-RU"/>
        </w:rPr>
        <w:br/>
        <w:t>«Семейные трудовые династии»</w:t>
      </w:r>
    </w:p>
    <w:p w:rsidR="00230B59" w:rsidRPr="00230B59" w:rsidRDefault="00230B59" w:rsidP="00230B59">
      <w:pPr>
        <w:shd w:val="clear" w:color="auto" w:fill="FFFFFF"/>
        <w:spacing w:after="0" w:line="312" w:lineRule="atLeast"/>
        <w:jc w:val="center"/>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I. Общие положения</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Организатором Конкурса является Министерство социальной политики и труда Удмуртской Республики (далее - организатор Конкурса)</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в</w:t>
      </w:r>
      <w:proofErr w:type="gramEnd"/>
      <w:r w:rsidRPr="00230B59">
        <w:rPr>
          <w:rFonts w:ascii="Arial" w:eastAsia="Times New Roman" w:hAnsi="Arial" w:cs="Arial"/>
          <w:i/>
          <w:iCs/>
          <w:color w:val="1C1C1C"/>
          <w:sz w:val="23"/>
          <w:szCs w:val="23"/>
          <w:lang w:eastAsia="ru-RU"/>
        </w:rPr>
        <w:t xml:space="preserve"> ред. распоряжения Правительства УР от 24.05.2018 N 631-р)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Конкурс проводится в целях:</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возрождения, сохранения и развития трудовых традиций в семьях;</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формирования позитивного общественного мнения о людях труда;</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сохранения и преумножения лучших трудовых традиций;</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п</w:t>
      </w:r>
      <w:proofErr w:type="gramEnd"/>
      <w:r w:rsidRPr="00230B59">
        <w:rPr>
          <w:rFonts w:ascii="Arial" w:eastAsia="Times New Roman" w:hAnsi="Arial" w:cs="Arial"/>
          <w:i/>
          <w:iCs/>
          <w:color w:val="1C1C1C"/>
          <w:sz w:val="23"/>
          <w:szCs w:val="23"/>
          <w:lang w:eastAsia="ru-RU"/>
        </w:rPr>
        <w:t>. 5 в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(в ред. распоряжения Правительства УР от 30.12.2016 N 1782-р)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1) семья, состоящая из двух и более человек;</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lastRenderedPageBreak/>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Под одной сферой профессиональной деятельности также понимаются должности, относящиеся к одной подгруппе в соответствии с общероссийским классификатором занятий.</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пунктом 11 настоящего Положения</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а</w:t>
      </w:r>
      <w:proofErr w:type="gramEnd"/>
      <w:r w:rsidRPr="00230B59">
        <w:rPr>
          <w:rFonts w:ascii="Arial" w:eastAsia="Times New Roman" w:hAnsi="Arial" w:cs="Arial"/>
          <w:i/>
          <w:iCs/>
          <w:color w:val="1C1C1C"/>
          <w:sz w:val="23"/>
          <w:szCs w:val="23"/>
          <w:lang w:eastAsia="ru-RU"/>
        </w:rPr>
        <w:t>бзац введен распоряжением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230B59" w:rsidRPr="00230B59" w:rsidRDefault="00230B59" w:rsidP="00230B59">
      <w:pPr>
        <w:shd w:val="clear" w:color="auto" w:fill="FFFFFF"/>
        <w:spacing w:after="0" w:line="312" w:lineRule="atLeast"/>
        <w:jc w:val="center"/>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II. Порядок проведения Конкурса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Дата проведения Конкурса - ежегодно с 1 февраля по 30 апреля.</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Конкурс проводится по следующим номинациям:</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При подсчете и оценке наград используется балльная система:</w:t>
      </w:r>
    </w:p>
    <w:tbl>
      <w:tblPr>
        <w:tblW w:w="15225" w:type="dxa"/>
        <w:tblCellSpacing w:w="15" w:type="dxa"/>
        <w:tblBorders>
          <w:top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13390"/>
        <w:gridCol w:w="1835"/>
      </w:tblGrid>
      <w:tr w:rsidR="00230B59" w:rsidRPr="00230B59" w:rsidTr="00230B59">
        <w:trPr>
          <w:tblCellSpacing w:w="15" w:type="dxa"/>
        </w:trPr>
        <w:tc>
          <w:tcPr>
            <w:tcW w:w="0" w:type="auto"/>
            <w:tcBorders>
              <w:top w:val="nil"/>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Высшее звание Российской Федерации</w:t>
            </w:r>
          </w:p>
        </w:tc>
        <w:tc>
          <w:tcPr>
            <w:tcW w:w="0" w:type="auto"/>
            <w:tcBorders>
              <w:top w:val="nil"/>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15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Ордена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13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Знаки отличия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12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Медали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11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Почетные звания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10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Поощрение Президента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9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Поощрение Правительства Российской Федерации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8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Ведомственные награды федеральных государственных органов</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7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Государственные награды Удмуртской Республики и почетные звания Удмуртской Республики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6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lastRenderedPageBreak/>
              <w:t>Поощрение Главы (Президента) Удмуртской Республики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5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Поощрение Правительства Удмуртской Республики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4 балла</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Поощрения Государственного Совета Удмуртской Республики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4 балла</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Ведомственные награды органов государственной власти Удмуртской Республики</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3 балла</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Награды органов местного самоуправления в Удмуртской Республике</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2 балла</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Награды предприятий, организаций, учреждений (за исключением премий)</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 балл</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Высшие степени отличия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15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Орден Ленина - высшая награда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15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Иные ордена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13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Медали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11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Почетные звания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10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Грамота Президиума Верховного Совета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9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Грамота Президиума союзных республик</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8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Ведомственные награды органов государственной власти СССР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7 баллов</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Ведомственные награды органов государственной власти Удмуртской АССР</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4 балла</w:t>
            </w:r>
          </w:p>
        </w:tc>
      </w:tr>
      <w:tr w:rsidR="00230B59" w:rsidRPr="00230B59" w:rsidTr="00230B59">
        <w:trPr>
          <w:tblCellSpacing w:w="15" w:type="dxa"/>
        </w:trPr>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Иные награды (за исключением премий)</w:t>
            </w:r>
          </w:p>
        </w:tc>
        <w:tc>
          <w:tcPr>
            <w:tcW w:w="0" w:type="auto"/>
            <w:tcBorders>
              <w:top w:val="single" w:sz="6" w:space="0" w:color="DEDEDE"/>
              <w:left w:val="single" w:sz="6" w:space="0" w:color="DEDEDE"/>
              <w:bottom w:val="nil"/>
              <w:right w:val="nil"/>
            </w:tcBorders>
            <w:shd w:val="clear" w:color="auto" w:fill="auto"/>
            <w:tcMar>
              <w:top w:w="150" w:type="dxa"/>
              <w:left w:w="150" w:type="dxa"/>
              <w:bottom w:w="150" w:type="dxa"/>
              <w:right w:w="150" w:type="dxa"/>
            </w:tcMar>
            <w:hideMark/>
          </w:tcPr>
          <w:p w:rsidR="00230B59" w:rsidRPr="00230B59" w:rsidRDefault="00230B59" w:rsidP="00230B59">
            <w:pPr>
              <w:spacing w:after="0" w:line="312" w:lineRule="atLeast"/>
              <w:jc w:val="center"/>
              <w:textAlignment w:val="top"/>
              <w:rPr>
                <w:rFonts w:ascii="Arial" w:eastAsia="Times New Roman" w:hAnsi="Arial" w:cs="Arial"/>
                <w:sz w:val="23"/>
                <w:szCs w:val="23"/>
                <w:lang w:eastAsia="ru-RU"/>
              </w:rPr>
            </w:pPr>
            <w:r w:rsidRPr="00230B59">
              <w:rPr>
                <w:rFonts w:ascii="Arial" w:eastAsia="Times New Roman" w:hAnsi="Arial" w:cs="Arial"/>
                <w:sz w:val="23"/>
                <w:szCs w:val="23"/>
                <w:lang w:eastAsia="ru-RU"/>
              </w:rPr>
              <w:t>1 балл</w:t>
            </w:r>
          </w:p>
        </w:tc>
      </w:tr>
    </w:tbl>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2) "За преемственность поколений" - выбирается самая многочисленная династия (критерий оценки: общее количество членов династии);</w:t>
      </w:r>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spellStart"/>
      <w:r w:rsidRPr="00230B59">
        <w:rPr>
          <w:rFonts w:ascii="Arial" w:eastAsia="Times New Roman" w:hAnsi="Arial" w:cs="Arial"/>
          <w:i/>
          <w:iCs/>
          <w:color w:val="1C1C1C"/>
          <w:sz w:val="23"/>
          <w:szCs w:val="23"/>
          <w:lang w:eastAsia="ru-RU"/>
        </w:rPr>
        <w:t>пп</w:t>
      </w:r>
      <w:proofErr w:type="spellEnd"/>
      <w:r w:rsidRPr="00230B59">
        <w:rPr>
          <w:rFonts w:ascii="Arial" w:eastAsia="Times New Roman" w:hAnsi="Arial" w:cs="Arial"/>
          <w:i/>
          <w:iCs/>
          <w:color w:val="1C1C1C"/>
          <w:sz w:val="23"/>
          <w:szCs w:val="23"/>
          <w:lang w:eastAsia="ru-RU"/>
        </w:rPr>
        <w:t>. 2 в ред. распоряжения Правительства УР от 30.12.2016 N 1782-р)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3) "Старейшая династия" - выбирается династия с самым продолжительным трудовым стажем (критерии оценки: общий трудовой стаж членов династии в профессии с даты начала трудовой деятельности основателя династии до даты представления пакета документов для участия во втором этапе Конкурса)</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в</w:t>
      </w:r>
      <w:proofErr w:type="gramEnd"/>
      <w:r w:rsidRPr="00230B59">
        <w:rPr>
          <w:rFonts w:ascii="Arial" w:eastAsia="Times New Roman" w:hAnsi="Arial" w:cs="Arial"/>
          <w:i/>
          <w:iCs/>
          <w:color w:val="1C1C1C"/>
          <w:sz w:val="23"/>
          <w:szCs w:val="23"/>
          <w:lang w:eastAsia="ru-RU"/>
        </w:rPr>
        <w:t xml:space="preserve">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Конкурс проводится в два этапа.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 xml:space="preserve">Первый этап (отборочный) проводится </w:t>
      </w:r>
      <w:proofErr w:type="gramStart"/>
      <w:r w:rsidRPr="00230B59">
        <w:rPr>
          <w:rFonts w:ascii="Arial" w:eastAsia="Times New Roman" w:hAnsi="Arial" w:cs="Arial"/>
          <w:color w:val="1C1C1C"/>
          <w:sz w:val="23"/>
          <w:szCs w:val="23"/>
          <w:lang w:eastAsia="ru-RU"/>
        </w:rPr>
        <w:t>с даты начала</w:t>
      </w:r>
      <w:proofErr w:type="gramEnd"/>
      <w:r w:rsidRPr="00230B59">
        <w:rPr>
          <w:rFonts w:ascii="Arial" w:eastAsia="Times New Roman" w:hAnsi="Arial" w:cs="Arial"/>
          <w:color w:val="1C1C1C"/>
          <w:sz w:val="23"/>
          <w:szCs w:val="23"/>
          <w:lang w:eastAsia="ru-RU"/>
        </w:rPr>
        <w:t xml:space="preserve">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w:t>
      </w:r>
      <w:r w:rsidRPr="00230B59">
        <w:rPr>
          <w:rFonts w:ascii="Arial" w:eastAsia="Times New Roman" w:hAnsi="Arial" w:cs="Arial"/>
          <w:color w:val="1C1C1C"/>
          <w:sz w:val="23"/>
          <w:szCs w:val="23"/>
          <w:lang w:eastAsia="ru-RU"/>
        </w:rPr>
        <w:lastRenderedPageBreak/>
        <w:t>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Для участия в Конкурсе претенденты представляют в муниципальную конкурсную комиссию следующий пакет документов:</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1) заявка на участие и презентационные материалы для участия в Конкурсе (приложение 1 к настоящему Положению);</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2) список членов династии с указанием трудового стажа (приложение 2 к настоящему Положению);</w:t>
      </w:r>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(в ред. распоряжения Правительства УР от 30.12.2016 N 1782-р)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3) копии трудовой книжки и иных документов, подтверждающих стаж работы каждого члена династии;</w:t>
      </w:r>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(в ред. распоряжения Правительства УР от 30.12.2016 N 1782-р)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в</w:t>
      </w:r>
      <w:proofErr w:type="gramEnd"/>
      <w:r w:rsidRPr="00230B59">
        <w:rPr>
          <w:rFonts w:ascii="Arial" w:eastAsia="Times New Roman" w:hAnsi="Arial" w:cs="Arial"/>
          <w:i/>
          <w:iCs/>
          <w:color w:val="1C1C1C"/>
          <w:sz w:val="23"/>
          <w:szCs w:val="23"/>
          <w:lang w:eastAsia="ru-RU"/>
        </w:rPr>
        <w:t xml:space="preserve"> ред. распоряжения Правительства УР от 30.12.2016 N 1782-р)</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Муниципальные конкурсные комиссии на основании представленных пакетов документов определяют победителя отборочного этапа Конкурса.</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Для участия во втором этапе Конкурса муниципальная конкурсная комиссия представляет организатору Конкурса в срок до 14 апреля пакет документов победителя отборочного этапа по каждой номинации и заполненные оценочные листы</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в</w:t>
      </w:r>
      <w:proofErr w:type="gramEnd"/>
      <w:r w:rsidRPr="00230B59">
        <w:rPr>
          <w:rFonts w:ascii="Arial" w:eastAsia="Times New Roman" w:hAnsi="Arial" w:cs="Arial"/>
          <w:i/>
          <w:iCs/>
          <w:color w:val="1C1C1C"/>
          <w:sz w:val="23"/>
          <w:szCs w:val="23"/>
          <w:lang w:eastAsia="ru-RU"/>
        </w:rPr>
        <w:t xml:space="preserve">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Второй этап (финальный) проводится с 15 по 30 апреля текущего года в городе Ижевске и приурочен к Празднику весны и труда.</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На республиканскую Комиссию возлагаются следующие функции:</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рассмотрение представленных на Конкурс материалов;</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определение победителей Конкурса в трех номинациях.</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Заседание республиканской Комиссии считается правомочным, если на нем присутствует не менее половины ее членов.</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lastRenderedPageBreak/>
        <w:t>Обеспечение работы республиканской Комиссии возлагается на организатора Конкурса.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 xml:space="preserve">Информация о дате и месте проведения второго этапа Конкурса, месте </w:t>
      </w:r>
      <w:proofErr w:type="gramStart"/>
      <w:r w:rsidRPr="00230B59">
        <w:rPr>
          <w:rFonts w:ascii="Arial" w:eastAsia="Times New Roman" w:hAnsi="Arial" w:cs="Arial"/>
          <w:color w:val="1C1C1C"/>
          <w:sz w:val="23"/>
          <w:szCs w:val="23"/>
          <w:lang w:eastAsia="ru-RU"/>
        </w:rPr>
        <w:t>приема пакета документов победителей отборочного этапа Конкурса</w:t>
      </w:r>
      <w:proofErr w:type="gramEnd"/>
      <w:r w:rsidRPr="00230B59">
        <w:rPr>
          <w:rFonts w:ascii="Arial" w:eastAsia="Times New Roman" w:hAnsi="Arial" w:cs="Arial"/>
          <w:color w:val="1C1C1C"/>
          <w:sz w:val="23"/>
          <w:szCs w:val="23"/>
          <w:lang w:eastAsia="ru-RU"/>
        </w:rP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230B59" w:rsidRPr="00230B59" w:rsidRDefault="00230B59" w:rsidP="00230B59">
      <w:pPr>
        <w:shd w:val="clear" w:color="auto" w:fill="FFFFFF"/>
        <w:spacing w:after="0" w:line="312" w:lineRule="atLeast"/>
        <w:jc w:val="center"/>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III. Подведение итогов и награждение победителей Конкурса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Республиканская Комиссия подводит итоги на основании данных, содержащихся в оценочных листах династий - участников Конкурса по форме согласно приложению 3 к настоящему Положению.</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proofErr w:type="gramStart"/>
      <w:r w:rsidRPr="00230B59">
        <w:rPr>
          <w:rFonts w:ascii="Arial" w:eastAsia="Times New Roman" w:hAnsi="Arial" w:cs="Arial"/>
          <w:color w:val="1C1C1C"/>
          <w:sz w:val="23"/>
          <w:szCs w:val="23"/>
          <w:lang w:eastAsia="ru-RU"/>
        </w:rPr>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roofErr w:type="gramEnd"/>
    </w:p>
    <w:p w:rsidR="00230B59" w:rsidRPr="00230B59" w:rsidRDefault="00230B59" w:rsidP="00230B59">
      <w:pPr>
        <w:shd w:val="clear" w:color="auto" w:fill="FFFFFF"/>
        <w:spacing w:after="0" w:line="312" w:lineRule="atLeast"/>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Победителю присваивается 1 место в соответствующей номинации, призерам - 2 и 3 места соответственно набранной ими итоговой сумме баллов</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п</w:t>
      </w:r>
      <w:proofErr w:type="gramEnd"/>
      <w:r w:rsidRPr="00230B59">
        <w:rPr>
          <w:rFonts w:ascii="Arial" w:eastAsia="Times New Roman" w:hAnsi="Arial" w:cs="Arial"/>
          <w:i/>
          <w:iCs/>
          <w:color w:val="1C1C1C"/>
          <w:sz w:val="23"/>
          <w:szCs w:val="23"/>
          <w:lang w:eastAsia="ru-RU"/>
        </w:rPr>
        <w:t>. 15 в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в</w:t>
      </w:r>
      <w:proofErr w:type="gramEnd"/>
      <w:r w:rsidRPr="00230B59">
        <w:rPr>
          <w:rFonts w:ascii="Arial" w:eastAsia="Times New Roman" w:hAnsi="Arial" w:cs="Arial"/>
          <w:i/>
          <w:iCs/>
          <w:color w:val="1C1C1C"/>
          <w:sz w:val="23"/>
          <w:szCs w:val="23"/>
          <w:lang w:eastAsia="ru-RU"/>
        </w:rPr>
        <w:t xml:space="preserve">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Победители Конкурса награждаются дипломами и призами в денежной форме в размере 50 тысяч рублей. Призеры Конкурса награждаются дипломами</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п</w:t>
      </w:r>
      <w:proofErr w:type="gramEnd"/>
      <w:r w:rsidRPr="00230B59">
        <w:rPr>
          <w:rFonts w:ascii="Arial" w:eastAsia="Times New Roman" w:hAnsi="Arial" w:cs="Arial"/>
          <w:i/>
          <w:iCs/>
          <w:color w:val="1C1C1C"/>
          <w:sz w:val="23"/>
          <w:szCs w:val="23"/>
          <w:lang w:eastAsia="ru-RU"/>
        </w:rPr>
        <w:t>. 17 в ред. распоряжения Правительства УР от 30.12.2016 N 1782-р)</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Приз в денежной форме делится в равных долях между всеми членами семьи династии.</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Информация о результатах конкурса размещается на официальном сайте организатора Конкурса.</w:t>
      </w:r>
    </w:p>
    <w:p w:rsidR="00230B59" w:rsidRPr="00230B59" w:rsidRDefault="00230B59" w:rsidP="00230B59">
      <w:pPr>
        <w:numPr>
          <w:ilvl w:val="0"/>
          <w:numId w:val="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230B59">
        <w:rPr>
          <w:rFonts w:ascii="Arial" w:eastAsia="Times New Roman" w:hAnsi="Arial" w:cs="Arial"/>
          <w:color w:val="1C1C1C"/>
          <w:sz w:val="23"/>
          <w:szCs w:val="23"/>
          <w:lang w:eastAsia="ru-RU"/>
        </w:rPr>
        <w:t>Всем династиям - победителям отборочного этапа Конкурса вручаются благодарственные письма от республиканской Комиссии</w:t>
      </w:r>
      <w:proofErr w:type="gramStart"/>
      <w:r w:rsidRPr="00230B59">
        <w:rPr>
          <w:rFonts w:ascii="Arial" w:eastAsia="Times New Roman" w:hAnsi="Arial" w:cs="Arial"/>
          <w:color w:val="1C1C1C"/>
          <w:sz w:val="23"/>
          <w:szCs w:val="23"/>
          <w:lang w:eastAsia="ru-RU"/>
        </w:rPr>
        <w:t>.</w:t>
      </w:r>
      <w:proofErr w:type="gramEnd"/>
      <w:r w:rsidRPr="00230B59">
        <w:rPr>
          <w:rFonts w:ascii="Arial" w:eastAsia="Times New Roman" w:hAnsi="Arial" w:cs="Arial"/>
          <w:color w:val="1C1C1C"/>
          <w:sz w:val="23"/>
          <w:szCs w:val="23"/>
          <w:lang w:eastAsia="ru-RU"/>
        </w:rPr>
        <w:br/>
      </w:r>
      <w:r w:rsidRPr="00230B59">
        <w:rPr>
          <w:rFonts w:ascii="Arial" w:eastAsia="Times New Roman" w:hAnsi="Arial" w:cs="Arial"/>
          <w:i/>
          <w:iCs/>
          <w:color w:val="1C1C1C"/>
          <w:sz w:val="23"/>
          <w:szCs w:val="23"/>
          <w:lang w:eastAsia="ru-RU"/>
        </w:rPr>
        <w:t>(</w:t>
      </w:r>
      <w:proofErr w:type="gramStart"/>
      <w:r w:rsidRPr="00230B59">
        <w:rPr>
          <w:rFonts w:ascii="Arial" w:eastAsia="Times New Roman" w:hAnsi="Arial" w:cs="Arial"/>
          <w:i/>
          <w:iCs/>
          <w:color w:val="1C1C1C"/>
          <w:sz w:val="23"/>
          <w:szCs w:val="23"/>
          <w:lang w:eastAsia="ru-RU"/>
        </w:rPr>
        <w:t>п</w:t>
      </w:r>
      <w:proofErr w:type="gramEnd"/>
      <w:r w:rsidRPr="00230B59">
        <w:rPr>
          <w:rFonts w:ascii="Arial" w:eastAsia="Times New Roman" w:hAnsi="Arial" w:cs="Arial"/>
          <w:i/>
          <w:iCs/>
          <w:color w:val="1C1C1C"/>
          <w:sz w:val="23"/>
          <w:szCs w:val="23"/>
          <w:lang w:eastAsia="ru-RU"/>
        </w:rPr>
        <w:t>. 20 введен распоряжением Правительства УР от 30.12.2016 N 1782-р)</w:t>
      </w:r>
    </w:p>
    <w:p w:rsidR="00466D48" w:rsidRDefault="00466D48">
      <w:bookmarkStart w:id="0" w:name="_GoBack"/>
      <w:bookmarkEnd w:id="0"/>
    </w:p>
    <w:sectPr w:rsidR="0046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E03"/>
    <w:multiLevelType w:val="multilevel"/>
    <w:tmpl w:val="B642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E9"/>
    <w:rsid w:val="00230B59"/>
    <w:rsid w:val="003F7CE9"/>
    <w:rsid w:val="0046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B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0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B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0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Плотникова</cp:lastModifiedBy>
  <cp:revision>3</cp:revision>
  <dcterms:created xsi:type="dcterms:W3CDTF">2021-03-04T10:55:00Z</dcterms:created>
  <dcterms:modified xsi:type="dcterms:W3CDTF">2021-03-04T10:55:00Z</dcterms:modified>
</cp:coreProperties>
</file>